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技术服务资料表</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widowControl/>
        <w:ind w:firstLine="560"/>
        <w:jc w:val="left"/>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采购项目名称：温度传感器便携式自动检定系统的研究与应用软件</w:t>
      </w:r>
    </w:p>
    <w:tbl>
      <w:tblPr>
        <w:tblStyle w:val="11"/>
        <w:tblW w:w="8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49"/>
        <w:gridCol w:w="415"/>
        <w:gridCol w:w="3670"/>
        <w:gridCol w:w="609"/>
        <w:gridCol w:w="3106"/>
        <w:gridCol w:w="67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49" w:type="dxa"/>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项号</w:t>
            </w:r>
          </w:p>
        </w:tc>
        <w:tc>
          <w:tcPr>
            <w:tcW w:w="408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技术文件需求</w:t>
            </w:r>
          </w:p>
        </w:tc>
        <w:tc>
          <w:tcPr>
            <w:tcW w:w="371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color w:val="000000" w:themeColor="text1"/>
                <w:sz w:val="18"/>
                <w:szCs w:val="18"/>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响应文件承诺</w:t>
            </w:r>
          </w:p>
        </w:tc>
        <w:tc>
          <w:tcPr>
            <w:tcW w:w="674" w:type="dxa"/>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偏离说明</w:t>
            </w:r>
            <w:r>
              <w:rPr>
                <w:rFonts w:hint="eastAsia" w:ascii="仿宋_GB2312" w:hAnsi="仿宋_GB2312" w:eastAsia="仿宋_GB2312" w:cs="仿宋_GB2312"/>
                <w:color w:val="auto"/>
                <w:sz w:val="18"/>
                <w:szCs w:val="18"/>
                <w:lang w:val="en-US" w:eastAsia="zh-CN"/>
              </w:rPr>
              <w:t>（必填）</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49"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4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服务名称</w:t>
            </w:r>
          </w:p>
        </w:tc>
        <w:tc>
          <w:tcPr>
            <w:tcW w:w="36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服务内容及要求</w:t>
            </w:r>
          </w:p>
        </w:tc>
        <w:tc>
          <w:tcPr>
            <w:tcW w:w="6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服务名称</w:t>
            </w:r>
          </w:p>
        </w:tc>
        <w:tc>
          <w:tcPr>
            <w:tcW w:w="31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themeColor="text1"/>
                <w:sz w:val="18"/>
                <w:szCs w:val="18"/>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所提供服务的内容</w:t>
            </w:r>
            <w:r>
              <w:rPr>
                <w:rFonts w:hint="eastAsia" w:ascii="仿宋_GB2312" w:hAnsi="仿宋_GB2312" w:eastAsia="仿宋_GB2312" w:cs="仿宋_GB2312"/>
                <w:color w:val="auto"/>
                <w:sz w:val="18"/>
                <w:szCs w:val="18"/>
                <w:lang w:val="en-US" w:eastAsia="zh-CN"/>
              </w:rPr>
              <w:t>（必填）</w:t>
            </w:r>
          </w:p>
        </w:tc>
        <w:tc>
          <w:tcPr>
            <w:tcW w:w="674"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w:t>
            </w:r>
          </w:p>
        </w:tc>
        <w:tc>
          <w:tcPr>
            <w:tcW w:w="36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left="210" w:leftChars="0"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18"/>
                <w:szCs w:val="18"/>
                <w:lang w:val="en-US" w:eastAsia="zh-CN" w:bidi="ar-SA"/>
                <w14:textFill>
                  <w14:solidFill>
                    <w14:schemeClr w14:val="tx1"/>
                  </w14:solidFill>
                </w14:textFill>
              </w:rPr>
              <w:t>一、</w:t>
            </w: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建设内容及要求</w:t>
            </w:r>
          </w:p>
          <w:p>
            <w:pPr>
              <w:keepNext w:val="0"/>
              <w:keepLines w:val="0"/>
              <w:pageBreakBefore w:val="0"/>
              <w:numPr>
                <w:ilvl w:val="0"/>
                <w:numId w:val="0"/>
              </w:numPr>
              <w:kinsoku/>
              <w:wordWrap/>
              <w:overflowPunct/>
              <w:topLinePunct w:val="0"/>
              <w:autoSpaceDE/>
              <w:autoSpaceDN/>
              <w:bidi w:val="0"/>
              <w:adjustRightInd/>
              <w:snapToGrid/>
              <w:spacing w:line="400" w:lineRule="exact"/>
              <w:ind w:left="210" w:leftChars="0" w:firstLine="360"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建设温度传感器便携式自动检定系统的研究与应用软件，实现计量检定过程中的温度控制、数据采集、数据分析判断、数据存储数据后期调用、打印检定报告等功能，可根据客户要求及被检计量器具的具体情况进行升级迭代，覆盖常见的热电偶、热电阻的检定工作，同时具备温度变送器、温度开关的校准功能。</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建设</w:t>
            </w: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内容如下：</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bookmarkStart w:id="0" w:name="建设内容142"/>
            <w:bookmarkEnd w:id="0"/>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1.软件流程结构：</w:t>
            </w: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操作人员登录软件、选择测试项目、计算结果、生成报告。</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2.通讯模块：</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1）能够兼容AMETEK干体炉RTC\PTC\ITC\CTC系列型号。</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2）能够实现控制AMETEK干体炉主机自带的各校准功能设置。</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3）至少包含校准点设置、自动步进设置、开关校准设置、液槽的搅拌速度设置、稳定判据设置、标准和被校传感器设置。</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4）软件需要根据国内相关检定规程内要求的温度测试点，读取被校传感器在这些温度下的电流、电压、电阻值。</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3.计算模块：</w:t>
            </w: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基于通讯模块读取的数据来计算对应的参数，输入界面相关项特征可进行以下内容操作及展示：</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18"/>
                <w:szCs w:val="18"/>
                <w:highlight w:val="none"/>
                <w:lang w:val="en-US" w:eastAsia="zh-CN"/>
                <w14:textFill>
                  <w14:solidFill>
                    <w14:schemeClr w14:val="tx1"/>
                  </w14:solidFill>
                </w14:textFill>
              </w:rPr>
              <w:t>热电阻（Pt10、Pt50、Pt100、Pt200、Pt500、Pt1000、Cu50、Cu100、M50、M100、BA1、BA2、G），热电偶（S、R、B、K、N、E、J、T、EA-2），温度开关动作值。</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4.显示模块</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用于人机交互，根据每个型号的干体炉设定对应的设置项目（每个型号的干体炉对应一个设置界面），根据每种类型待测器件设定输出对应的数据类型以及格式（主要的待测器件有热电阻、热电偶、温度开关、温度变送器等）；</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调试RTC\PTC\ITC\CTC四个型号的干体炉每种设置界面热电阻、热电偶、温度开关、温度变送器参数显示。</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5.报告输出</w:t>
            </w:r>
            <w:r>
              <w:rPr>
                <w:rFonts w:hint="eastAsia" w:ascii="仿宋_GB2312" w:hAnsi="仿宋_GB2312" w:eastAsia="仿宋_GB2312" w:cs="仿宋_GB2312"/>
                <w:b/>
                <w:bCs/>
                <w:color w:val="000000" w:themeColor="text1"/>
                <w:kern w:val="2"/>
                <w:sz w:val="18"/>
                <w:szCs w:val="18"/>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可连接采购单位的业务系统输出对应的证书和原始记录。</w:t>
            </w:r>
          </w:p>
          <w:p>
            <w:pPr>
              <w:pStyle w:val="6"/>
              <w:ind w:firstLine="480"/>
              <w:jc w:val="both"/>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6.整体联调设计</w:t>
            </w:r>
            <w:r>
              <w:rPr>
                <w:rFonts w:hint="eastAsia" w:ascii="仿宋_GB2312" w:hAnsi="仿宋_GB2312" w:eastAsia="仿宋_GB2312" w:cs="仿宋_GB2312"/>
                <w:b w:val="0"/>
                <w:color w:val="000000" w:themeColor="text1"/>
                <w:kern w:val="2"/>
                <w:sz w:val="18"/>
                <w:szCs w:val="18"/>
                <w:lang w:val="en-US" w:eastAsia="zh-CN" w:bidi="ar-SA"/>
                <w14:textFill>
                  <w14:solidFill>
                    <w14:schemeClr w14:val="tx1"/>
                  </w14:solidFill>
                </w14:textFill>
              </w:rPr>
              <w:t>：系统各项功能全部调试完成后，需要对每项功能进行测试，RTC\PTC\ITC\CTC四个型号干体炉每个需要与对应的检测器件（热电阻（热电阻包含Pt10，Pt50，Pt100，Pt200，Pt500，Pt1000，Cu50，Cu100，M50，M100，BA1, BA2,G等）、热电偶（热电偶包含S型、R型、B型、K型、N型、E型、J型、T型、EA型）、温度开关、温度变送器）进行实际检测，并验证软件是否存在bug。</w:t>
            </w:r>
          </w:p>
        </w:tc>
        <w:tc>
          <w:tcPr>
            <w:tcW w:w="6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温度传感器便携式自动检定系统的研究与应用软件</w:t>
            </w:r>
          </w:p>
        </w:tc>
        <w:tc>
          <w:tcPr>
            <w:tcW w:w="31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360" w:firstLineChars="200"/>
              <w:jc w:val="center"/>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w:t>
            </w:r>
          </w:p>
        </w:tc>
        <w:tc>
          <w:tcPr>
            <w:tcW w:w="36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18"/>
                <w:szCs w:val="18"/>
                <w:lang w:val="en-US" w:eastAsia="zh-CN" w:bidi="ar-SA"/>
                <w14:textFill>
                  <w14:solidFill>
                    <w14:schemeClr w14:val="tx1"/>
                  </w14:solidFill>
                </w14:textFill>
              </w:rPr>
              <w:t>二、</w:t>
            </w: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系统设计</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软件采用基于Windows操作系统的Python环境开发</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，兼容Windows7以上版本操作系统</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。系统采用模块化思路，将软件内部分为四个主要模块</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通讯模块</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计算模块（数据处理）；显示模块（人机交互）；报告模块（结果输出）</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模块之间相对独立，各自完成对应的功能，通过内部管道传递参数。</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2.</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全面性</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系统总体设计应遵循科学地设计理念各个组成部分均符合当代信息技术发展形势</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满足未来对信息化发展的要求</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提供针对</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需要的</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数据源的接口支持。</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3.</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开放性</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在现有应用系统和手段建设中有大量资源包括软硬件环境资源和大量信息资源在实现资源共享时要统一规划最大限度实现各类资源共享支持业务工作的开展。系统需实现资源和服务对其他业务手段和使用人员的共享。</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4.</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安全性</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系统必须有高可靠性能够长时间运行而不宕机要保证系统使用的连续性。建立全局的数据安全机制建立统一的访问控制机制实现统一的身份认证、访问控制等安全机制。同时，按照国家信息技术应用创新工作的总体框架，保证软硬件的自主可控。</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5.</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易维护性</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系统需要具备可解决问题并易于管理的系统</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具有友好的用户界面</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操作简单、直观、灵活</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易于学习和掌握。</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6.</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信息资源规划</w:t>
            </w: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w:t>
            </w:r>
            <w:r>
              <w:rPr>
                <w:rFonts w:hint="default" w:ascii="仿宋_GB2312" w:hAnsi="仿宋_GB2312" w:eastAsia="仿宋_GB2312" w:cs="仿宋_GB2312"/>
                <w:color w:val="000000" w:themeColor="text1"/>
                <w:kern w:val="2"/>
                <w:sz w:val="18"/>
                <w:szCs w:val="18"/>
                <w:lang w:val="en-US" w:eastAsia="zh-CN" w:bidi="ar-SA"/>
                <w14:textFill>
                  <w14:solidFill>
                    <w14:schemeClr w14:val="tx1"/>
                  </w14:solidFill>
                </w14:textFill>
              </w:rPr>
              <w:t>支持多种数据获取的方式，包括手动录入、文件数据解析和通过仪器设备提供的接口实现通信传输等。</w:t>
            </w:r>
          </w:p>
        </w:tc>
        <w:tc>
          <w:tcPr>
            <w:tcW w:w="6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温度传感器便携式自动检定系统的研究与应用软件</w:t>
            </w:r>
          </w:p>
        </w:tc>
        <w:tc>
          <w:tcPr>
            <w:tcW w:w="31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80" w:hRule="atLeast"/>
          <w:jc w:val="center"/>
        </w:trPr>
        <w:tc>
          <w:tcPr>
            <w:tcW w:w="864" w:type="dxa"/>
            <w:gridSpan w:val="2"/>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w:t>
            </w:r>
          </w:p>
        </w:tc>
        <w:tc>
          <w:tcPr>
            <w:tcW w:w="3670" w:type="dxa"/>
            <w:tcBorders>
              <w:top w:val="single" w:color="auto" w:sz="4" w:space="0"/>
              <w:left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default"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三、系统参数要求</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1.系统稳定性和可靠性：系统软件能够7*24小时连续运行，不断稳定可靠的工作。系统的可用性（A=MTBF（平均无故障工作时间）/MTBF+MTTR（平均维修时间））要求不低于99.9%。</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2.系统响应时间：考虑到不同类型用户对响应时间的忍耐程度，系统应在3s内输出结果并展示给用户，监测、查询等要求系统1s内输出结果并展示给用户，分析及辅助决策系统简单查询应在3s内输出结果并展示，调用软件平台进行的复杂查询分析使用离线异步方式应在3s内输出结果并展示。其中交互类业务包括平均响应时间：&lt;2秒；峰值响应时间：&lt;3秒。</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3.系统并发处理能力：可实现干体炉主机自带的各校准功能设置（单个校准点设置、自动步进设置、开关校准设置、液槽的搅拌速度设置、稳定判据设置、标准和被校传感器设置等），根据国内相关检定规程内要求的温度测试点，读取被校传感器在这些温度下的电流、电压、电阻值，然后按照对应算法计算被校传感器的实际值，根据对应标准判断被校传感器的精度等级（或者是否合格），测试完成后自动生成被校传感器的模拟报告。</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2"/>
                <w:sz w:val="18"/>
                <w:szCs w:val="18"/>
                <w:lang w:val="en-US" w:eastAsia="zh-CN" w:bidi="ar-SA"/>
                <w14:textFill>
                  <w14:solidFill>
                    <w14:schemeClr w14:val="tx1"/>
                  </w14:solidFill>
                </w14:textFill>
              </w:rPr>
              <w:t>4.业务处理能力：系统支持接入处理文本、数据等信息；可导入行业内其他产品数据，并将上述信息计算融合生成符合温度传感器便携式自动检定系统的研究与应用软件项目的信息。</w:t>
            </w:r>
          </w:p>
        </w:tc>
        <w:tc>
          <w:tcPr>
            <w:tcW w:w="609" w:type="dxa"/>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温度传感器便携式自动检定系统的研究与应用软件</w:t>
            </w:r>
          </w:p>
        </w:tc>
        <w:tc>
          <w:tcPr>
            <w:tcW w:w="3106"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64" w:type="dxa"/>
            <w:gridSpan w:val="2"/>
            <w:vMerge w:val="restart"/>
            <w:tcBorders>
              <w:top w:val="single" w:color="auto" w:sz="4" w:space="0"/>
              <w:left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4</w:t>
            </w:r>
          </w:p>
        </w:tc>
        <w:tc>
          <w:tcPr>
            <w:tcW w:w="36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firstLine="361" w:firstLineChars="200"/>
              <w:textAlignment w:val="auto"/>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18"/>
                <w:szCs w:val="18"/>
                <w:highlight w:val="none"/>
                <w:lang w:val="en-US" w:eastAsia="zh-CN"/>
                <w14:textFill>
                  <w14:solidFill>
                    <w14:schemeClr w14:val="tx1"/>
                  </w14:solidFill>
                </w14:textFill>
              </w:rPr>
              <w:t>四、项目实施要求</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（一）实施规划要求</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1、供应商应提供分步实施和部署的完善规划方案、风险分析，说明实施步骤等。</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2、在项目实施的全过程，采购人有对项目进度和质量进行监督控制的职责和权利，供应商应全面配合，确保人力、物力的定量投入，定期向采购人提交最新的进展情况报告。</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3、供应商对软件的开发、实施应严格按照软件工程规范进行管理。各阶段应提交相应的文档，并经采购人认可后方可进行下阶段工作。</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4、供应商应将本项目的所有设计文档和相关资料移交给采购人，并保证文档的一致性和完整性。</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5</w:t>
            </w:r>
            <w:bookmarkStart w:id="1" w:name="_GoBack"/>
            <w:bookmarkEnd w:id="1"/>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 xml:space="preserve">、供应商应提供与运行版本一致的完整的技术文档。 </w:t>
            </w:r>
          </w:p>
        </w:tc>
        <w:tc>
          <w:tcPr>
            <w:tcW w:w="609" w:type="dxa"/>
            <w:vMerge w:val="restart"/>
            <w:tcBorders>
              <w:top w:val="single" w:color="auto" w:sz="4" w:space="0"/>
              <w:left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温度传感器便携式自动检定系统的研究与应用软件</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rPr>
                <w:rFonts w:hint="eastAsia"/>
                <w:color w:val="000000" w:themeColor="text1"/>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温度传感器便携式自动检定系统的研究与应用软件</w:t>
            </w:r>
          </w:p>
        </w:tc>
        <w:tc>
          <w:tcPr>
            <w:tcW w:w="31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jc w:val="center"/>
        </w:trPr>
        <w:tc>
          <w:tcPr>
            <w:tcW w:w="864" w:type="dxa"/>
            <w:gridSpan w:val="2"/>
            <w:vMerge w:val="continue"/>
            <w:tcBorders>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6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（二）进度要求</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供应商应根据《温度传感器便携式自动检定系统研究与应用软件实施方案》中项目实施进度来实施规划提供详细、可行的进度计划。</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1、保障措施</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为了确保该项目高质量地如期完成，供应商需严格按照ISO/IEC17025等标准，及“软件工程规范”进行实施、开发，并提供开发过程中关键流程、进度偏差控制等管理措施说明。</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2、用户方配合内容</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供应商需根据项目进度详细列出各个阶段用户方需要配合的内容。</w:t>
            </w:r>
          </w:p>
        </w:tc>
        <w:tc>
          <w:tcPr>
            <w:tcW w:w="609"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31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249"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供应商（盖单位公章）：</w:t>
            </w: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8249"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法定代表人或其委托代理人（签字或盖章）：</w:t>
            </w:r>
          </w:p>
        </w:tc>
        <w:tc>
          <w:tcPr>
            <w:tcW w:w="6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tc>
      </w:tr>
    </w:tbl>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spacing w:line="400" w:lineRule="exact"/>
        <w:ind w:firstLine="360" w:firstLineChars="20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注：（1）表格内容需按要求填写并盖章，不得留空，否者按无效处理。</w:t>
      </w:r>
    </w:p>
    <w:p>
      <w:pPr>
        <w:keepNext w:val="0"/>
        <w:keepLines w:val="0"/>
        <w:pageBreakBefore w:val="0"/>
        <w:numPr>
          <w:ilvl w:val="0"/>
          <w:numId w:val="2"/>
        </w:numPr>
        <w:kinsoku/>
        <w:wordWrap/>
        <w:overflowPunct/>
        <w:topLinePunct w:val="0"/>
        <w:autoSpaceDE/>
        <w:autoSpaceDN/>
        <w:bidi w:val="0"/>
        <w:adjustRightInd/>
        <w:snapToGrid/>
        <w:spacing w:line="400" w:lineRule="exact"/>
        <w:ind w:left="630" w:leftChars="0" w:firstLine="0" w:firstLineChars="0"/>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当响应文件的技术参数或商务内容低于文件要求时，供应商应当如实写明“负偏离”，否者视为虚假应标。</w:t>
      </w:r>
    </w:p>
    <w:p>
      <w:pPr>
        <w:pStyle w:val="8"/>
        <w:numPr>
          <w:ilvl w:val="0"/>
          <w:numId w:val="0"/>
        </w:numPr>
        <w:ind w:firstLine="720" w:firstLineChars="400"/>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t>（3）当响应文件的技术参数或商务内容出现负偏离时，采购人有权取消选取资格。</w:t>
      </w:r>
    </w:p>
    <w:p>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themeColor="text1"/>
          <w:sz w:val="18"/>
          <w:szCs w:val="18"/>
          <w:highlight w:val="none"/>
          <w:lang w:val="en-US" w:eastAsia="zh-CN"/>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lang w:val="en-US" w:eastAsia="zh-CN"/>
      </w:rPr>
    </w:pPr>
    <w:r>
      <w:rPr>
        <w:rFonts w:hint="eastAsia"/>
        <w:lang w:val="en-US" w:eastAsia="zh-CN"/>
      </w:rPr>
      <w:t>附件一：</w:t>
    </w:r>
  </w:p>
  <w:p>
    <w:pPr>
      <w:pStyle w:val="10"/>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5E680"/>
    <w:multiLevelType w:val="singleLevel"/>
    <w:tmpl w:val="BC35E680"/>
    <w:lvl w:ilvl="0" w:tentative="0">
      <w:start w:val="2"/>
      <w:numFmt w:val="decimal"/>
      <w:suff w:val="nothing"/>
      <w:lvlText w:val="（%1）"/>
      <w:lvlJc w:val="left"/>
      <w:pPr>
        <w:ind w:left="630" w:leftChars="0" w:firstLine="0" w:firstLineChars="0"/>
      </w:pPr>
    </w:lvl>
  </w:abstractNum>
  <w:abstractNum w:abstractNumId="1">
    <w:nsid w:val="12306E94"/>
    <w:multiLevelType w:val="multilevel"/>
    <w:tmpl w:val="12306E94"/>
    <w:lvl w:ilvl="0" w:tentative="0">
      <w:start w:val="1"/>
      <w:numFmt w:val="chineseCountingThousand"/>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pStyle w:val="3"/>
      <w:isLgl/>
      <w:suff w:val="space"/>
      <w:lvlText w:val="%1.%2.%3"/>
      <w:lvlJc w:val="left"/>
      <w:pPr>
        <w:ind w:left="0" w:firstLine="0"/>
      </w:pPr>
      <w:rPr>
        <w:rFonts w:hint="eastAsia"/>
      </w:rPr>
    </w:lvl>
    <w:lvl w:ilvl="3" w:tentative="0">
      <w:start w:val="1"/>
      <w:numFmt w:val="decimal"/>
      <w:pStyle w:val="5"/>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ZTk3NDVhMWZhYjljZTI0NzhlNjAyMDRkMzdlYzkifQ=="/>
  </w:docVars>
  <w:rsids>
    <w:rsidRoot w:val="43FC5C83"/>
    <w:rsid w:val="0AE578F1"/>
    <w:rsid w:val="1DDF1008"/>
    <w:rsid w:val="1F16220B"/>
    <w:rsid w:val="220A3C81"/>
    <w:rsid w:val="31691C8A"/>
    <w:rsid w:val="3DD67FE1"/>
    <w:rsid w:val="43FC5C83"/>
    <w:rsid w:val="4E8D38D2"/>
    <w:rsid w:val="4EEA1BC9"/>
    <w:rsid w:val="56D908BA"/>
    <w:rsid w:val="590D47E9"/>
    <w:rsid w:val="62497BC8"/>
    <w:rsid w:val="647C2C8C"/>
    <w:rsid w:val="662E465E"/>
    <w:rsid w:val="69B37F39"/>
    <w:rsid w:val="786E035A"/>
    <w:rsid w:val="7BF5398D"/>
    <w:rsid w:val="7E99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autoRedefine/>
    <w:qFormat/>
    <w:uiPriority w:val="0"/>
    <w:pPr>
      <w:keepNext/>
      <w:keepLines/>
      <w:widowControl w:val="0"/>
      <w:numPr>
        <w:ilvl w:val="2"/>
        <w:numId w:val="1"/>
      </w:numPr>
      <w:spacing w:before="156" w:beforeLines="50" w:line="360" w:lineRule="auto"/>
      <w:outlineLvl w:val="2"/>
    </w:pPr>
    <w:rPr>
      <w:rFonts w:ascii="黑体" w:eastAsia="黑体"/>
      <w:bCs/>
      <w:sz w:val="28"/>
      <w:szCs w:val="32"/>
      <w:lang w:val="en-US" w:eastAsia="zh-CN" w:bidi="ar-SA"/>
    </w:rPr>
  </w:style>
  <w:style w:type="paragraph" w:styleId="5">
    <w:name w:val="heading 4"/>
    <w:basedOn w:val="1"/>
    <w:next w:val="1"/>
    <w:autoRedefine/>
    <w:qFormat/>
    <w:uiPriority w:val="9"/>
    <w:pPr>
      <w:keepNext/>
      <w:keepLines/>
      <w:numPr>
        <w:ilvl w:val="3"/>
        <w:numId w:val="1"/>
      </w:numPr>
      <w:spacing w:before="156" w:beforeLines="50"/>
      <w:outlineLvl w:val="3"/>
    </w:pPr>
    <w:rPr>
      <w:rFonts w:ascii="黑体" w:hAnsi="Cambria" w:eastAsia="黑体"/>
      <w:bCs/>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toc 2"/>
    <w:basedOn w:val="1"/>
    <w:next w:val="1"/>
    <w:autoRedefine/>
    <w:qFormat/>
    <w:uiPriority w:val="0"/>
    <w:pPr>
      <w:ind w:left="420" w:leftChars="200"/>
    </w:pPr>
    <w:rPr>
      <w:rFonts w:eastAsia="仿宋_GB2312"/>
      <w:sz w:val="24"/>
    </w:rPr>
  </w:style>
  <w:style w:type="paragraph" w:customStyle="1" w:styleId="4">
    <w:name w:val="正文-2字符首行缩进"/>
    <w:basedOn w:val="1"/>
    <w:autoRedefine/>
    <w:qFormat/>
    <w:uiPriority w:val="0"/>
    <w:pPr>
      <w:ind w:firstLine="200" w:firstLineChars="200"/>
    </w:pPr>
  </w:style>
  <w:style w:type="paragraph" w:styleId="6">
    <w:name w:val="caption"/>
    <w:basedOn w:val="1"/>
    <w:next w:val="1"/>
    <w:autoRedefine/>
    <w:qFormat/>
    <w:uiPriority w:val="0"/>
    <w:pPr>
      <w:spacing w:line="360" w:lineRule="auto"/>
      <w:ind w:firstLine="200" w:firstLineChars="200"/>
      <w:jc w:val="center"/>
    </w:pPr>
    <w:rPr>
      <w:rFonts w:ascii="Arial" w:hAnsi="Arial"/>
      <w:b/>
      <w:szCs w:val="22"/>
    </w:rPr>
  </w:style>
  <w:style w:type="paragraph" w:styleId="7">
    <w:name w:val="annotation text"/>
    <w:basedOn w:val="1"/>
    <w:autoRedefine/>
    <w:qFormat/>
    <w:uiPriority w:val="0"/>
    <w:pPr>
      <w:jc w:val="left"/>
    </w:pPr>
  </w:style>
  <w:style w:type="paragraph" w:styleId="8">
    <w:name w:val="Body Text"/>
    <w:basedOn w:val="1"/>
    <w:link w:val="14"/>
    <w:autoRedefine/>
    <w:unhideWhenUsed/>
    <w:qFormat/>
    <w:uiPriority w:val="0"/>
    <w:pPr>
      <w:spacing w:after="12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my正文"/>
    <w:basedOn w:val="1"/>
    <w:autoRedefine/>
    <w:qFormat/>
    <w:uiPriority w:val="0"/>
    <w:pPr>
      <w:spacing w:line="360" w:lineRule="auto"/>
      <w:ind w:firstLine="480" w:firstLineChars="200"/>
    </w:pPr>
    <w:rPr>
      <w:rFonts w:ascii="Times New Roman" w:hAnsi="Times New Roman" w:eastAsia="宋体" w:cs="Times New Roman"/>
      <w:sz w:val="24"/>
      <w:szCs w:val="24"/>
    </w:rPr>
  </w:style>
  <w:style w:type="character" w:customStyle="1" w:styleId="14">
    <w:name w:val="正文文本 Char"/>
    <w:link w:val="8"/>
    <w:autoRedefine/>
    <w:qFormat/>
    <w:uiPriority w:val="0"/>
  </w:style>
  <w:style w:type="paragraph" w:customStyle="1" w:styleId="15">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18</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2023-10-17T06:58:00Z</dcterms:created>
  <dc:creator>kryslly不是kryslly</dc:creator>
  <cp:lastModifiedBy>小陈</cp:lastModifiedBy>
  <dcterms:modified xsi:type="dcterms:W3CDTF">2024-04-17T08:00:23Z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8424AE6430774022A1BCAECC8077B26C_13</vt:lpwstr>
  </property>
</Properties>
</file>