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5ED22">
      <w:pPr>
        <w:ind w:firstLine="643" w:firstLineChars="200"/>
        <w:jc w:val="cente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服务技术资料表</w:t>
      </w:r>
    </w:p>
    <w:p w14:paraId="64239C0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4B914D6">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采购项目名称：OA系统功能第三次升级开发服务</w:t>
      </w:r>
    </w:p>
    <w:tbl>
      <w:tblPr>
        <w:tblStyle w:val="10"/>
        <w:tblW w:w="8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49"/>
        <w:gridCol w:w="415"/>
        <w:gridCol w:w="3670"/>
        <w:gridCol w:w="609"/>
        <w:gridCol w:w="3106"/>
        <w:gridCol w:w="674"/>
      </w:tblGrid>
      <w:tr w14:paraId="1D2DAE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49" w:type="dxa"/>
            <w:vMerge w:val="restart"/>
            <w:tcBorders>
              <w:top w:val="single" w:color="auto" w:sz="4" w:space="0"/>
              <w:left w:val="single" w:color="auto" w:sz="4" w:space="0"/>
              <w:right w:val="single" w:color="auto" w:sz="4" w:space="0"/>
            </w:tcBorders>
            <w:noWrap w:val="0"/>
            <w:vAlign w:val="center"/>
          </w:tcPr>
          <w:p w14:paraId="59D2FF34">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项号</w:t>
            </w:r>
          </w:p>
        </w:tc>
        <w:tc>
          <w:tcPr>
            <w:tcW w:w="4085" w:type="dxa"/>
            <w:gridSpan w:val="2"/>
            <w:tcBorders>
              <w:top w:val="single" w:color="auto" w:sz="4" w:space="0"/>
              <w:left w:val="single" w:color="auto" w:sz="4" w:space="0"/>
              <w:bottom w:val="single" w:color="auto" w:sz="4" w:space="0"/>
              <w:right w:val="single" w:color="auto" w:sz="4" w:space="0"/>
            </w:tcBorders>
            <w:noWrap w:val="0"/>
            <w:vAlign w:val="center"/>
          </w:tcPr>
          <w:p w14:paraId="6E4960D4">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技术文件需求</w:t>
            </w:r>
          </w:p>
        </w:tc>
        <w:tc>
          <w:tcPr>
            <w:tcW w:w="3715" w:type="dxa"/>
            <w:gridSpan w:val="2"/>
            <w:tcBorders>
              <w:top w:val="single" w:color="auto" w:sz="4" w:space="0"/>
              <w:left w:val="single" w:color="auto" w:sz="4" w:space="0"/>
              <w:bottom w:val="single" w:color="auto" w:sz="4" w:space="0"/>
              <w:right w:val="single" w:color="auto" w:sz="4" w:space="0"/>
            </w:tcBorders>
            <w:noWrap w:val="0"/>
            <w:vAlign w:val="center"/>
          </w:tcPr>
          <w:p w14:paraId="2145157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响应文件承诺</w:t>
            </w:r>
          </w:p>
        </w:tc>
        <w:tc>
          <w:tcPr>
            <w:tcW w:w="674" w:type="dxa"/>
            <w:vMerge w:val="restart"/>
            <w:tcBorders>
              <w:top w:val="single" w:color="auto" w:sz="4" w:space="0"/>
              <w:left w:val="single" w:color="auto" w:sz="4" w:space="0"/>
              <w:right w:val="single" w:color="auto" w:sz="4" w:space="0"/>
            </w:tcBorders>
            <w:noWrap w:val="0"/>
            <w:vAlign w:val="center"/>
          </w:tcPr>
          <w:p w14:paraId="49A123E8">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偏离说明</w:t>
            </w:r>
          </w:p>
        </w:tc>
      </w:tr>
      <w:tr w14:paraId="75DB5E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49" w:type="dxa"/>
            <w:vMerge w:val="continue"/>
            <w:tcBorders>
              <w:left w:val="single" w:color="auto" w:sz="4" w:space="0"/>
              <w:bottom w:val="single" w:color="auto" w:sz="4" w:space="0"/>
              <w:right w:val="single" w:color="auto" w:sz="4" w:space="0"/>
            </w:tcBorders>
            <w:noWrap w:val="0"/>
            <w:vAlign w:val="center"/>
          </w:tcPr>
          <w:p w14:paraId="0240CB00">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415" w:type="dxa"/>
            <w:tcBorders>
              <w:top w:val="single" w:color="auto" w:sz="4" w:space="0"/>
              <w:left w:val="single" w:color="auto" w:sz="4" w:space="0"/>
              <w:bottom w:val="single" w:color="auto" w:sz="4" w:space="0"/>
              <w:right w:val="single" w:color="auto" w:sz="4" w:space="0"/>
            </w:tcBorders>
            <w:noWrap w:val="0"/>
            <w:vAlign w:val="center"/>
          </w:tcPr>
          <w:p w14:paraId="40EF716E">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服务名称</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5CC16E79">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服务内容及要求</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630C20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服务名称</w:t>
            </w:r>
          </w:p>
        </w:tc>
        <w:tc>
          <w:tcPr>
            <w:tcW w:w="3106" w:type="dxa"/>
            <w:tcBorders>
              <w:top w:val="single" w:color="auto" w:sz="4" w:space="0"/>
              <w:left w:val="single" w:color="auto" w:sz="4" w:space="0"/>
              <w:bottom w:val="single" w:color="auto" w:sz="4" w:space="0"/>
              <w:right w:val="single" w:color="auto" w:sz="4" w:space="0"/>
            </w:tcBorders>
            <w:noWrap w:val="0"/>
            <w:vAlign w:val="center"/>
          </w:tcPr>
          <w:p w14:paraId="117E5A81">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所提供服务的内容</w:t>
            </w:r>
          </w:p>
        </w:tc>
        <w:tc>
          <w:tcPr>
            <w:tcW w:w="674" w:type="dxa"/>
            <w:vMerge w:val="continue"/>
            <w:tcBorders>
              <w:left w:val="single" w:color="auto" w:sz="4" w:space="0"/>
              <w:bottom w:val="single" w:color="auto" w:sz="4" w:space="0"/>
              <w:right w:val="single" w:color="auto" w:sz="4" w:space="0"/>
            </w:tcBorders>
            <w:noWrap w:val="0"/>
            <w:vAlign w:val="center"/>
          </w:tcPr>
          <w:p w14:paraId="08DC5282">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lang w:val="en-US" w:eastAsia="zh-CN"/>
                <w14:textFill>
                  <w14:solidFill>
                    <w14:schemeClr w14:val="tx1"/>
                  </w14:solidFill>
                </w14:textFill>
              </w:rPr>
            </w:pPr>
          </w:p>
        </w:tc>
      </w:tr>
      <w:tr w14:paraId="5AA15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615B4A26">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1DC0DECE">
            <w:pPr>
              <w:keepNext w:val="0"/>
              <w:keepLines w:val="0"/>
              <w:pageBreakBefore w:val="0"/>
              <w:numPr>
                <w:ilvl w:val="0"/>
                <w:numId w:val="0"/>
              </w:numPr>
              <w:kinsoku/>
              <w:wordWrap/>
              <w:overflowPunct/>
              <w:topLinePunct w:val="0"/>
              <w:autoSpaceDE/>
              <w:autoSpaceDN/>
              <w:bidi w:val="0"/>
              <w:adjustRightInd/>
              <w:snapToGrid/>
              <w:spacing w:line="400" w:lineRule="exact"/>
              <w:ind w:left="210" w:leftChars="0"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18"/>
                <w:szCs w:val="18"/>
                <w:lang w:val="en-US" w:eastAsia="zh-CN" w:bidi="ar-SA"/>
                <w14:textFill>
                  <w14:solidFill>
                    <w14:schemeClr w14:val="tx1"/>
                  </w14:solidFill>
                </w14:textFill>
              </w:rPr>
              <w:t>一、</w:t>
            </w: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建设内容及要求</w:t>
            </w:r>
          </w:p>
          <w:p w14:paraId="747DA69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在广西壮族自治区计量检测研究院OA系统现有建设的基础上，增加OA系统功能，扩大OA系统协作范围；升级改造原系统部分功能，优化业务流程，规范审批业务，提高业务审批效率，进一步实现无纸（电子）化、网络化、标准化、智能化的协同办公自动化。</w:t>
            </w:r>
          </w:p>
          <w:p w14:paraId="668465C3">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建设内容如下：</w:t>
            </w:r>
          </w:p>
          <w:p w14:paraId="3AFD0429">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bookmarkStart w:id="0" w:name="建设内容142"/>
            <w:bookmarkEnd w:id="0"/>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1.升级WPS在线编辑Office文档服务</w:t>
            </w:r>
          </w:p>
          <w:p w14:paraId="2BB363B2">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2.升级Office文档在线预览服务</w:t>
            </w:r>
          </w:p>
          <w:p w14:paraId="08397BE3">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3.升级通讯录模块功能</w:t>
            </w:r>
          </w:p>
          <w:p w14:paraId="4102AC7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4.升级公告模块功能</w:t>
            </w:r>
          </w:p>
          <w:p w14:paraId="14E37D38">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5.升级收文模块短信功能</w:t>
            </w:r>
          </w:p>
          <w:p w14:paraId="5744A004">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6增加统一身份认证功能，实现登录OA后</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单点登录至</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我院质量系统、业务系统</w:t>
            </w:r>
          </w:p>
          <w:p w14:paraId="4EE14AB8">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7.用户管理功能升级</w:t>
            </w:r>
          </w:p>
          <w:p w14:paraId="0F78D10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b/>
                <w:bCs/>
                <w:lang w:val="en-US" w:eastAsia="zh-CN"/>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8.与原有OA办公系统二期无缝对接。</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EF43A72">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OA系统功能第三次升级开发服务</w:t>
            </w:r>
          </w:p>
        </w:tc>
        <w:tc>
          <w:tcPr>
            <w:tcW w:w="3106" w:type="dxa"/>
            <w:tcBorders>
              <w:top w:val="single" w:color="auto" w:sz="4" w:space="0"/>
              <w:left w:val="single" w:color="auto" w:sz="4" w:space="0"/>
              <w:bottom w:val="single" w:color="auto" w:sz="4" w:space="0"/>
              <w:right w:val="single" w:color="auto" w:sz="4" w:space="0"/>
            </w:tcBorders>
            <w:noWrap w:val="0"/>
            <w:vAlign w:val="center"/>
          </w:tcPr>
          <w:p w14:paraId="47F681BE">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BB8AA0E">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4F0FD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20F39A5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A8AA1D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DDD55A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30E834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88B751C">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423513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C0E630E">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C3EF37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7CD2D57">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7D1EB94">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EDE7FC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458BFC3">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B9E8A39">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AFF93F2">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688E456">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D4EDD9E">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8B4995F">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337D6BE">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400C949">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5A0D814E">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5C5A8A1">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5037565">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39EF9D8">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673F917">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3DE1474">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1FD6C9D">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7D3CF6BA">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18"/>
                <w:szCs w:val="18"/>
                <w:lang w:val="en-US" w:eastAsia="zh-CN" w:bidi="ar-SA"/>
                <w14:textFill>
                  <w14:solidFill>
                    <w14:schemeClr w14:val="tx1"/>
                  </w14:solidFill>
                </w14:textFill>
              </w:rPr>
              <w:t>二、</w:t>
            </w: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系统设计</w:t>
            </w:r>
          </w:p>
          <w:p w14:paraId="6643F6C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要求系统采用Java架构的多层体系结构，易于升级和发展，保持技术的先进性。</w:t>
            </w:r>
          </w:p>
          <w:p w14:paraId="7E2DD5DF">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2..</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服务环境支持要求：系统要求支持适配国产数据库、操作系统等。</w:t>
            </w:r>
          </w:p>
          <w:p w14:paraId="7ADE0EB3">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3.</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系统采用B/S架构，支持常用的主流浏览器。</w:t>
            </w:r>
          </w:p>
          <w:p w14:paraId="211F0D09">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4.需配合计量院完成</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系统信息安全等级保护二级</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测评。</w:t>
            </w:r>
          </w:p>
          <w:p w14:paraId="74ABB3E0">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5.</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系统具有可视化流程配置器，可以自定义配置工作流程，具有良好的集成性，可以快速定制出甲方所需的业务流程。</w:t>
            </w:r>
          </w:p>
          <w:p w14:paraId="3772492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6.</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系统具有良好的移植性和跨平台性，系统架构满足二次开发拓展的需求，系统平台能够支持拓展增加新功能，满足今后业务发展需求。</w:t>
            </w:r>
          </w:p>
          <w:p w14:paraId="094D6009">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7.</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系统功能菜单支持自定义创建配置。</w:t>
            </w:r>
          </w:p>
          <w:p w14:paraId="1F75AEB4">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8.</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同时系统需支持与常用办公软件无缝集成，支持在线浏览、编辑文件。</w:t>
            </w:r>
          </w:p>
          <w:p w14:paraId="404DA73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9.</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系统需实现根据角色或人员的不同设置不同的密码机制。</w:t>
            </w:r>
          </w:p>
          <w:p w14:paraId="5DFE0E6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10.</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登录场景登录事务的平均响应时间为不大于3秒；单用户十万数据量打开系统登录日志页面的平均响应时间为不大于0.4秒；单用户百万数据量打开系统登录日志页面的平均响应时间不大于0.6秒。</w:t>
            </w:r>
          </w:p>
          <w:p w14:paraId="573A809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11.</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系统具有审计跟踪配置功能，支持对数据项的修改、删除等操作的跟踪机制</w:t>
            </w:r>
          </w:p>
          <w:p w14:paraId="1A1FD78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12.</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为保障建设周期和系统可靠性，系统</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应基于有</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一定基础的成熟性产品</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进行开发，采用的技术架构应是国内主流、先进的</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w:t>
            </w:r>
          </w:p>
          <w:p w14:paraId="02458A5C">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13、</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提供灵活的权限控制，如系统管理员和业务关键用户等权限划分清楚，浏览/修改权限划分清楚，不同的权限对应的数据访问权限分别授权，分级审批。</w:t>
            </w:r>
          </w:p>
          <w:p w14:paraId="4274DEE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14.</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供应商需提供二次开发平台业务代码，可以通过业务代码开发新增业务需求功能。</w:t>
            </w:r>
          </w:p>
          <w:p w14:paraId="0CD7D99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15.</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严格遵循ISO/IEC17025、ISO/IEC17020、JJF1069、JJF1033等标准及中心质量体系文件，实现以实验室业务流程管理为核心的全方位管理。</w:t>
            </w:r>
          </w:p>
          <w:p w14:paraId="0FD4922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16.</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系统界面友好，可操作性强，需支持界面字体灵活调整。</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917623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7703D23">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3DEBD0E">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614061B">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E1AE0D7">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5C80E47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7FB5A1D">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3EDB99C">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A14459C">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42ECAD7">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2098D3B">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C367358">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F5AE03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53CC845">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C233225">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787A408">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5607AEA1">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FA5B8EC">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B3F437A">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684D126">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46E74DF">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CF30C0C">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E4D9A10">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OA系统功能第三次升级开发服务</w:t>
            </w:r>
          </w:p>
        </w:tc>
        <w:tc>
          <w:tcPr>
            <w:tcW w:w="3106" w:type="dxa"/>
            <w:tcBorders>
              <w:top w:val="single" w:color="auto" w:sz="4" w:space="0"/>
              <w:left w:val="single" w:color="auto" w:sz="4" w:space="0"/>
              <w:bottom w:val="single" w:color="auto" w:sz="4" w:space="0"/>
              <w:right w:val="single" w:color="auto" w:sz="4" w:space="0"/>
            </w:tcBorders>
            <w:noWrap w:val="0"/>
            <w:vAlign w:val="center"/>
          </w:tcPr>
          <w:p w14:paraId="73CE2EF3">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2F51B8D">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11467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restart"/>
            <w:tcBorders>
              <w:top w:val="single" w:color="auto" w:sz="4" w:space="0"/>
              <w:left w:val="single" w:color="auto" w:sz="4" w:space="0"/>
              <w:right w:val="single" w:color="auto" w:sz="4" w:space="0"/>
            </w:tcBorders>
            <w:noWrap w:val="0"/>
            <w:vAlign w:val="center"/>
          </w:tcPr>
          <w:p w14:paraId="16F773B5">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6D56CB38">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三、系统功能参数要求</w:t>
            </w:r>
          </w:p>
          <w:p w14:paraId="308C26A8">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（一）升级WPS在线编辑Office文档服务</w:t>
            </w:r>
          </w:p>
          <w:p w14:paraId="7ABA7CAD">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1.将WPS的文档处理能力与OA系统无缝集成，在线调用WPS客户端。</w:t>
            </w:r>
          </w:p>
          <w:p w14:paraId="29DCCFDE">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2.支持Office文档在线编辑。</w:t>
            </w:r>
          </w:p>
          <w:p w14:paraId="7069A7FA">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3.打开文档在线编辑时，文档默认显示模式为“在批注框中显示修订内容”，直观展示各修改处的修改人、修改时间。</w:t>
            </w:r>
          </w:p>
          <w:p w14:paraId="01C9DC02">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4.内外网登陆系统均可实现</w:t>
            </w:r>
            <w:bookmarkStart w:id="6" w:name="_GoBack"/>
            <w:bookmarkEnd w:id="6"/>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Office文档在线编辑。</w:t>
            </w:r>
          </w:p>
          <w:p w14:paraId="45C944F9">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5.原样显示Office文档，编辑保存后格式不走样。</w:t>
            </w:r>
          </w:p>
          <w:p w14:paraId="1641DC8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6.历史版本（在线编辑保存文档后根据人员生成不同的历史文件，可随时恢复和预览）。</w:t>
            </w:r>
          </w:p>
          <w:p w14:paraId="17B3262E">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7.移动端修改替换附件。</w:t>
            </w:r>
          </w:p>
          <w:p w14:paraId="6040057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8.支持大型Office文件的上传和在线编辑，确保运行稳定。</w:t>
            </w:r>
          </w:p>
          <w:p w14:paraId="76731C2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9.支持Chrome等现代浏览器的在线调用。</w:t>
            </w:r>
          </w:p>
          <w:p w14:paraId="22D39A7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10.支持修订记录的显示、接受修订、拒绝修订。</w:t>
            </w:r>
          </w:p>
          <w:p w14:paraId="311D0CB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11.为文件型字段增加参数，如附件查阅模式，满足文档在线预览编辑的需要。</w:t>
            </w:r>
          </w:p>
          <w:p w14:paraId="4002587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12.不限制同时在线编辑的用户数。</w:t>
            </w:r>
          </w:p>
          <w:p w14:paraId="4CB91D5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13.在流程节点中可对附件字段的操作权限进行细化设置，可设置上传、自维护、编辑、修订、核稿等权限。</w:t>
            </w:r>
          </w:p>
        </w:tc>
        <w:tc>
          <w:tcPr>
            <w:tcW w:w="609" w:type="dxa"/>
            <w:vMerge w:val="restart"/>
            <w:tcBorders>
              <w:top w:val="single" w:color="auto" w:sz="4" w:space="0"/>
              <w:left w:val="single" w:color="auto" w:sz="4" w:space="0"/>
              <w:right w:val="single" w:color="auto" w:sz="4" w:space="0"/>
            </w:tcBorders>
            <w:noWrap w:val="0"/>
            <w:vAlign w:val="center"/>
          </w:tcPr>
          <w:p w14:paraId="25323F30">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OA系统功能第三次升级开发服务</w:t>
            </w:r>
          </w:p>
        </w:tc>
        <w:tc>
          <w:tcPr>
            <w:tcW w:w="3106" w:type="dxa"/>
            <w:tcBorders>
              <w:top w:val="single" w:color="auto" w:sz="4" w:space="0"/>
              <w:left w:val="single" w:color="auto" w:sz="4" w:space="0"/>
              <w:bottom w:val="single" w:color="auto" w:sz="4" w:space="0"/>
              <w:right w:val="single" w:color="auto" w:sz="4" w:space="0"/>
            </w:tcBorders>
            <w:noWrap w:val="0"/>
            <w:vAlign w:val="center"/>
          </w:tcPr>
          <w:p w14:paraId="44E01968">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071BC44">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481BA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7F60E95B">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4670359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bookmarkStart w:id="1" w:name="_Toc20042"/>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（二）</w:t>
            </w:r>
            <w:bookmarkEnd w:id="1"/>
            <w:bookmarkStart w:id="2" w:name="整合原内部信息系统功能"/>
            <w:bookmarkEnd w:id="2"/>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升级Office文档在线预览服务</w:t>
            </w:r>
          </w:p>
          <w:p w14:paraId="6F36A56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ofd、wps、et、dps文档允许上传及在线预览服务，不需要安装任何插件，即可在线预览OFD文档，不需下载OFD文档再用特定软件打开，为用户在线办公带来很大便利。</w:t>
            </w:r>
          </w:p>
        </w:tc>
        <w:tc>
          <w:tcPr>
            <w:tcW w:w="609" w:type="dxa"/>
            <w:vMerge w:val="continue"/>
            <w:tcBorders>
              <w:left w:val="single" w:color="auto" w:sz="4" w:space="0"/>
              <w:right w:val="single" w:color="auto" w:sz="4" w:space="0"/>
            </w:tcBorders>
            <w:noWrap w:val="0"/>
            <w:vAlign w:val="center"/>
          </w:tcPr>
          <w:p w14:paraId="508BD083">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7BFF314F">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201306FD">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283D0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5231E5EB">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21A2C4E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（三）升级通讯录模块功能</w:t>
            </w:r>
          </w:p>
          <w:p w14:paraId="588C093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通讯录模块可通过外链字段功能调用用户管理模块的相应字段，修改用户记录后，通讯录对应记录的数据可实时映射更新；还可通过推送功能，在新增、修改、删除/还原/彻底删除用户记录后，同步更新至通讯录模块，极大提升通讯录的维护效率。</w:t>
            </w:r>
          </w:p>
        </w:tc>
        <w:tc>
          <w:tcPr>
            <w:tcW w:w="609" w:type="dxa"/>
            <w:vMerge w:val="continue"/>
            <w:tcBorders>
              <w:left w:val="single" w:color="auto" w:sz="4" w:space="0"/>
              <w:right w:val="single" w:color="auto" w:sz="4" w:space="0"/>
            </w:tcBorders>
            <w:noWrap w:val="0"/>
            <w:vAlign w:val="center"/>
          </w:tcPr>
          <w:p w14:paraId="16F8F68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1BC686E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F2E63E9">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3F24CD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7A37818D">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158D619E">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（四）升级公告模块功能</w:t>
            </w:r>
          </w:p>
          <w:p w14:paraId="0283D480">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升级“我的主页”模块功能。实现公告模块未阅读算法，将工作流办理用户从需阅读公告用户中精准分离出来。用户登录系统“我的主页”后实时检测其公告未阅读情况，弹出对话框进行明确提示，点击后可快速跳转至未阅读公告页面。</w:t>
            </w:r>
          </w:p>
        </w:tc>
        <w:tc>
          <w:tcPr>
            <w:tcW w:w="609" w:type="dxa"/>
            <w:vMerge w:val="continue"/>
            <w:tcBorders>
              <w:left w:val="single" w:color="auto" w:sz="4" w:space="0"/>
              <w:right w:val="single" w:color="auto" w:sz="4" w:space="0"/>
            </w:tcBorders>
            <w:noWrap w:val="0"/>
            <w:vAlign w:val="center"/>
          </w:tcPr>
          <w:p w14:paraId="5B470954">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4F341D1E">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040B3A7">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1B552C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03B7A5DC">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149F65FB">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（五）升级收文模块短信功能</w:t>
            </w:r>
          </w:p>
          <w:p w14:paraId="13ED803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实现收文模块催办短信内容灵活定制，在字段导出界面增加“在催办短信中显示”参数，根据用户需求可将收文模块任意字段信息以标签形式嵌入催办短信模板，实时替换后发至指定用户手机。定制形式如：【广西计量院】公文催办：{title}，紧急程度：{str8}。如已办理请忽略此信息。（{name} {mobile}）。在发送催办短信界面显示短信内容预览，让催办人直观掌握拟发短信内容。增加“发送催办短信范围”参数，可指定发起人或办理过程中的全部办理人可发送催办短信，提升系统短信发送灵活性。</w:t>
            </w:r>
          </w:p>
        </w:tc>
        <w:tc>
          <w:tcPr>
            <w:tcW w:w="609" w:type="dxa"/>
            <w:vMerge w:val="continue"/>
            <w:tcBorders>
              <w:left w:val="single" w:color="auto" w:sz="4" w:space="0"/>
              <w:right w:val="single" w:color="auto" w:sz="4" w:space="0"/>
            </w:tcBorders>
            <w:noWrap w:val="0"/>
            <w:vAlign w:val="center"/>
          </w:tcPr>
          <w:p w14:paraId="7F8DD06D">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34BFF9C7">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754C27E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5ED18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3696D1C3">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2A32920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bookmarkStart w:id="3" w:name="_Toc2206"/>
            <w:bookmarkStart w:id="4" w:name="_Toc18592"/>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（六）</w:t>
            </w:r>
            <w:bookmarkEnd w:id="3"/>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增加统一身份认证功能，添加</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单点登录至</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我院质量系统、业务系统。</w:t>
            </w:r>
          </w:p>
          <w:bookmarkEnd w:id="4"/>
          <w:p w14:paraId="50B8FCD3">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新增统一身份认证功能，采用高安全级别加密算法和严格身份验证机制，实现从OA系统单点登录至当前使用的质量系统、业务系统，使用安全性更高的CBC模式、32位密钥等指定算法对身份信息进行高强度加密</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w:t>
            </w:r>
          </w:p>
        </w:tc>
        <w:tc>
          <w:tcPr>
            <w:tcW w:w="609" w:type="dxa"/>
            <w:vMerge w:val="continue"/>
            <w:tcBorders>
              <w:left w:val="single" w:color="auto" w:sz="4" w:space="0"/>
              <w:right w:val="single" w:color="auto" w:sz="4" w:space="0"/>
            </w:tcBorders>
            <w:noWrap w:val="0"/>
            <w:vAlign w:val="center"/>
          </w:tcPr>
          <w:p w14:paraId="06489B32">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7CB54B8E">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BF06D7D">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2E2B0D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36400823">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0D013910">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bookmarkStart w:id="5" w:name="_Toc13244"/>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(七)</w:t>
            </w:r>
            <w:bookmarkEnd w:id="5"/>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升级用户管理功能</w:t>
            </w:r>
          </w:p>
          <w:p w14:paraId="12ECED2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新增用户记录导入、导出功能。支持自定义字段，可根据用户需求灵活增加用户数据字段。为适配统一身份认证功能，用户管理模块增加工号字段（每个用户的工号需唯一，支持新用户自动编号并记录在工号字段中），还可指定用户的身份证号、手机号、流水号作为身份认证字段。</w:t>
            </w:r>
          </w:p>
        </w:tc>
        <w:tc>
          <w:tcPr>
            <w:tcW w:w="609" w:type="dxa"/>
            <w:vMerge w:val="continue"/>
            <w:tcBorders>
              <w:left w:val="single" w:color="auto" w:sz="4" w:space="0"/>
              <w:right w:val="single" w:color="auto" w:sz="4" w:space="0"/>
            </w:tcBorders>
            <w:noWrap w:val="0"/>
            <w:vAlign w:val="center"/>
          </w:tcPr>
          <w:p w14:paraId="64707BFF">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689DB902">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5B539331">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11478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continue"/>
            <w:tcBorders>
              <w:left w:val="single" w:color="auto" w:sz="4" w:space="0"/>
              <w:right w:val="single" w:color="auto" w:sz="4" w:space="0"/>
            </w:tcBorders>
            <w:noWrap w:val="0"/>
            <w:vAlign w:val="center"/>
          </w:tcPr>
          <w:p w14:paraId="2721A694">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206D592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（八）与原有</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OA办公系统无缝对接</w:t>
            </w:r>
          </w:p>
          <w:p w14:paraId="4A3F4C39">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在原有</w:t>
            </w:r>
            <w:r>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t>OA办公系统应用基础上进行功能扩展和升级，保证系统的延续性和无缝对接。</w:t>
            </w:r>
          </w:p>
        </w:tc>
        <w:tc>
          <w:tcPr>
            <w:tcW w:w="609" w:type="dxa"/>
            <w:vMerge w:val="continue"/>
            <w:tcBorders>
              <w:left w:val="single" w:color="auto" w:sz="4" w:space="0"/>
              <w:right w:val="single" w:color="auto" w:sz="4" w:space="0"/>
            </w:tcBorders>
            <w:noWrap w:val="0"/>
            <w:vAlign w:val="center"/>
          </w:tcPr>
          <w:p w14:paraId="364406E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74606A4E">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3403512A">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7D774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restart"/>
            <w:tcBorders>
              <w:top w:val="single" w:color="auto" w:sz="4" w:space="0"/>
              <w:left w:val="single" w:color="auto" w:sz="4" w:space="0"/>
              <w:right w:val="single" w:color="auto" w:sz="4" w:space="0"/>
            </w:tcBorders>
            <w:noWrap w:val="0"/>
            <w:vAlign w:val="center"/>
          </w:tcPr>
          <w:p w14:paraId="4BD95373">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669D0C4F">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四、项目实施要求</w:t>
            </w:r>
          </w:p>
          <w:p w14:paraId="75BADA8F">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（一）实施规划要求</w:t>
            </w:r>
          </w:p>
          <w:p w14:paraId="47A9667E">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1、供应商应提供分步实施和部署的完善规划方案、风险分析，说明实施步骤等。</w:t>
            </w:r>
          </w:p>
          <w:p w14:paraId="112AED5C">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2、供应商必须在响应文件中确定项目负责人和参与实施的人员，说明每个人的岗位级别、资质、数量的人员清单。</w:t>
            </w:r>
          </w:p>
          <w:p w14:paraId="2D967BCD">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3、在项目实施的全过程，采购人有对项目进度和质量进行监督控制的职责和权利，供应商应全面配合，确保人力、物力的定量投入，定期向采购人提交最新的进展情况报告。</w:t>
            </w:r>
          </w:p>
          <w:p w14:paraId="78156A5E">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4、供应商对软件的开发、实施应严格按照软件工程规范进行管理。各阶段应提交相应的文档，并经采购人认可后方可进行下阶段工作。</w:t>
            </w:r>
          </w:p>
          <w:p w14:paraId="15AD9127">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5、供应商应将本项目的所有设计文档和相关资料移交给采购人，并保证文档的一致性和完整性。</w:t>
            </w:r>
          </w:p>
          <w:p w14:paraId="26CF306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 xml:space="preserve">6、供应商应提供与运行版本一致的完整的技术文档。 </w:t>
            </w:r>
          </w:p>
          <w:p w14:paraId="220E635B">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09" w:type="dxa"/>
            <w:vMerge w:val="restart"/>
            <w:tcBorders>
              <w:top w:val="single" w:color="auto" w:sz="4" w:space="0"/>
              <w:left w:val="single" w:color="auto" w:sz="4" w:space="0"/>
              <w:right w:val="single" w:color="auto" w:sz="4" w:space="0"/>
            </w:tcBorders>
            <w:noWrap w:val="0"/>
            <w:vAlign w:val="center"/>
          </w:tcPr>
          <w:p w14:paraId="3A29B41F">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BF64486">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58ECD3B">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72A2FF5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F47697D">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17A4733">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5932762">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OA系统功能第三次升级开发服务</w:t>
            </w:r>
          </w:p>
          <w:p w14:paraId="529F9D23">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97FCC34">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69A5689F">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59B65233">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EFF8474">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5BF8811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C83384C">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36365D17">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26D1ECC">
            <w:pPr>
              <w:pStyle w:val="7"/>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4670CBB0">
            <w:pP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24483DCD">
            <w:pPr>
              <w:pStyle w:val="7"/>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02D9E1FE">
            <w:pPr>
              <w:rPr>
                <w:rFonts w:hint="eastAsia"/>
                <w:color w:val="000000" w:themeColor="text1"/>
                <w:lang w:val="en-US" w:eastAsia="zh-CN"/>
                <w14:textFill>
                  <w14:solidFill>
                    <w14:schemeClr w14:val="tx1"/>
                  </w14:solidFill>
                </w14:textFill>
              </w:rPr>
            </w:pPr>
          </w:p>
          <w:p w14:paraId="04DC324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OA系统功能第三次升级开发服务</w:t>
            </w:r>
          </w:p>
        </w:tc>
        <w:tc>
          <w:tcPr>
            <w:tcW w:w="3106" w:type="dxa"/>
            <w:tcBorders>
              <w:top w:val="single" w:color="auto" w:sz="4" w:space="0"/>
              <w:left w:val="single" w:color="auto" w:sz="4" w:space="0"/>
              <w:bottom w:val="single" w:color="auto" w:sz="4" w:space="0"/>
              <w:right w:val="single" w:color="auto" w:sz="4" w:space="0"/>
            </w:tcBorders>
            <w:noWrap w:val="0"/>
            <w:vAlign w:val="center"/>
          </w:tcPr>
          <w:p w14:paraId="35CBC5FB">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07357BEF">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57E68C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jc w:val="center"/>
        </w:trPr>
        <w:tc>
          <w:tcPr>
            <w:tcW w:w="864" w:type="dxa"/>
            <w:gridSpan w:val="2"/>
            <w:vMerge w:val="continue"/>
            <w:tcBorders>
              <w:left w:val="single" w:color="auto" w:sz="4" w:space="0"/>
              <w:bottom w:val="single" w:color="auto" w:sz="4" w:space="0"/>
              <w:right w:val="single" w:color="auto" w:sz="4" w:space="0"/>
            </w:tcBorders>
            <w:noWrap w:val="0"/>
            <w:vAlign w:val="center"/>
          </w:tcPr>
          <w:p w14:paraId="1A2A9EF1">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14:paraId="461010AC">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（二）进度要求</w:t>
            </w:r>
          </w:p>
          <w:p w14:paraId="19569B9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供应商应根据实施规划提供详细、可行的进度计划。</w:t>
            </w:r>
          </w:p>
          <w:p w14:paraId="3FFC5D30">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1、保障措施</w:t>
            </w:r>
          </w:p>
          <w:p w14:paraId="49C0EB65">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为了确保该项目高质量地如期完成，供应商需严格按照ISO/IEC17025等标准，及“软件工程规范”进行实施、开发，并提供开发过程中关键流程、进度偏差控制等管理措施说明。</w:t>
            </w:r>
          </w:p>
          <w:p w14:paraId="2924DAA1">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2、用户方配合内容</w:t>
            </w:r>
          </w:p>
          <w:p w14:paraId="530A7D64">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供应商需根据项目进度详细列出各个阶段用户方需要配合的内容。</w:t>
            </w:r>
          </w:p>
        </w:tc>
        <w:tc>
          <w:tcPr>
            <w:tcW w:w="609" w:type="dxa"/>
            <w:vMerge w:val="continue"/>
            <w:tcBorders>
              <w:left w:val="single" w:color="auto" w:sz="4" w:space="0"/>
              <w:bottom w:val="single" w:color="auto" w:sz="4" w:space="0"/>
              <w:right w:val="single" w:color="auto" w:sz="4" w:space="0"/>
            </w:tcBorders>
            <w:noWrap w:val="0"/>
            <w:vAlign w:val="center"/>
          </w:tcPr>
          <w:p w14:paraId="0EEB6E4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14:paraId="4C21D46A">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14:paraId="6E8A7EAE">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32175F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249" w:type="dxa"/>
            <w:gridSpan w:val="5"/>
            <w:tcBorders>
              <w:top w:val="single" w:color="auto" w:sz="4" w:space="0"/>
              <w:left w:val="single" w:color="auto" w:sz="4" w:space="0"/>
              <w:bottom w:val="single" w:color="auto" w:sz="4" w:space="0"/>
              <w:right w:val="single" w:color="auto" w:sz="4" w:space="0"/>
            </w:tcBorders>
            <w:noWrap w:val="0"/>
            <w:vAlign w:val="center"/>
          </w:tcPr>
          <w:p w14:paraId="0BD20D1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供应商（盖单位公章）：</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7B9C1EBA">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14:paraId="375B20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8249" w:type="dxa"/>
            <w:gridSpan w:val="5"/>
            <w:tcBorders>
              <w:top w:val="single" w:color="auto" w:sz="4" w:space="0"/>
              <w:left w:val="single" w:color="auto" w:sz="4" w:space="0"/>
              <w:bottom w:val="single" w:color="auto" w:sz="4" w:space="0"/>
              <w:right w:val="single" w:color="auto" w:sz="4" w:space="0"/>
            </w:tcBorders>
            <w:noWrap w:val="0"/>
            <w:vAlign w:val="center"/>
          </w:tcPr>
          <w:p w14:paraId="63EDFCB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法定代表人或其委托代理人（签字或盖章）：</w:t>
            </w:r>
          </w:p>
        </w:tc>
        <w:tc>
          <w:tcPr>
            <w:tcW w:w="674" w:type="dxa"/>
            <w:tcBorders>
              <w:top w:val="single" w:color="auto" w:sz="4" w:space="0"/>
              <w:left w:val="single" w:color="auto" w:sz="4" w:space="0"/>
              <w:bottom w:val="single" w:color="auto" w:sz="4" w:space="0"/>
              <w:right w:val="single" w:color="auto" w:sz="4" w:space="0"/>
            </w:tcBorders>
            <w:noWrap w:val="0"/>
            <w:vAlign w:val="center"/>
          </w:tcPr>
          <w:p w14:paraId="5ED92F3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bl>
    <w:p w14:paraId="4DF82B08">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14:paraId="1F4B1166">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注：（1）表格内容需按要求填写并盖章，不得留空，否者按无效处理。</w:t>
      </w:r>
    </w:p>
    <w:p w14:paraId="1973E73D">
      <w:pPr>
        <w:keepNext w:val="0"/>
        <w:keepLines w:val="0"/>
        <w:pageBreakBefore w:val="0"/>
        <w:numPr>
          <w:ilvl w:val="0"/>
          <w:numId w:val="3"/>
        </w:numPr>
        <w:kinsoku/>
        <w:wordWrap/>
        <w:overflowPunct/>
        <w:topLinePunct w:val="0"/>
        <w:autoSpaceDE/>
        <w:autoSpaceDN/>
        <w:bidi w:val="0"/>
        <w:adjustRightInd/>
        <w:snapToGrid/>
        <w:spacing w:line="400" w:lineRule="exact"/>
        <w:ind w:left="630" w:leftChars="0" w:firstLine="0" w:firstLineChars="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当响应文件的技术参数或商务内容低于文件要求时，供应商应当如实写明“负偏离”，否者视为虚假应标。</w:t>
      </w:r>
    </w:p>
    <w:p w14:paraId="43552543">
      <w:pPr>
        <w:pStyle w:val="7"/>
        <w:numPr>
          <w:ilvl w:val="0"/>
          <w:numId w:val="0"/>
        </w:numPr>
        <w:ind w:firstLine="720" w:firstLineChars="400"/>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（3）当响应文件的技术参数或商务内容出现负偏离时，采购人有权取消选取资格。</w:t>
      </w:r>
    </w:p>
    <w:p w14:paraId="00F26621">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83644">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0CAE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850CAE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1169">
    <w:pPr>
      <w:pStyle w:val="9"/>
      <w:rPr>
        <w:rFonts w:hint="eastAsia"/>
        <w:lang w:val="en-US" w:eastAsia="zh-CN"/>
      </w:rPr>
    </w:pPr>
    <w:r>
      <w:rPr>
        <w:rFonts w:hint="eastAsia"/>
        <w:lang w:val="en-US" w:eastAsia="zh-CN"/>
      </w:rPr>
      <w:t>附件一：</w:t>
    </w:r>
  </w:p>
  <w:p w14:paraId="040D3450">
    <w:pPr>
      <w:pStyle w:val="9"/>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5E680"/>
    <w:multiLevelType w:val="singleLevel"/>
    <w:tmpl w:val="BC35E680"/>
    <w:lvl w:ilvl="0" w:tentative="0">
      <w:start w:val="2"/>
      <w:numFmt w:val="decimal"/>
      <w:suff w:val="nothing"/>
      <w:lvlText w:val="（%1）"/>
      <w:lvlJc w:val="left"/>
      <w:pPr>
        <w:ind w:left="630" w:leftChars="0" w:firstLine="0" w:firstLineChars="0"/>
      </w:pPr>
    </w:lvl>
  </w:abstractNum>
  <w:abstractNum w:abstractNumId="1">
    <w:nsid w:val="12306E94"/>
    <w:multiLevelType w:val="multilevel"/>
    <w:tmpl w:val="12306E94"/>
    <w:lvl w:ilvl="0" w:tentative="0">
      <w:start w:val="1"/>
      <w:numFmt w:val="chineseCountingThousand"/>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pStyle w:val="3"/>
      <w:isLgl/>
      <w:suff w:val="space"/>
      <w:lvlText w:val="%1.%2.%3"/>
      <w:lvlJc w:val="left"/>
      <w:pPr>
        <w:ind w:left="0" w:firstLine="0"/>
      </w:pPr>
      <w:rPr>
        <w:rFonts w:hint="eastAsia"/>
      </w:rPr>
    </w:lvl>
    <w:lvl w:ilvl="3" w:tentative="0">
      <w:start w:val="1"/>
      <w:numFmt w:val="decimal"/>
      <w:pStyle w:val="5"/>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52FF3B92"/>
    <w:multiLevelType w:val="multilevel"/>
    <w:tmpl w:val="52FF3B92"/>
    <w:lvl w:ilvl="0" w:tentative="0">
      <w:start w:val="1"/>
      <w:numFmt w:val="chineseCountingThousand"/>
      <w:suff w:val="space"/>
      <w:lvlText w:val="%1、"/>
      <w:lvlJc w:val="left"/>
      <w:pPr>
        <w:ind w:left="0" w:firstLine="400"/>
      </w:pPr>
      <w:rPr>
        <w:rFonts w:hint="eastAsia"/>
      </w:rPr>
    </w:lvl>
    <w:lvl w:ilvl="1" w:tentative="0">
      <w:start w:val="1"/>
      <w:numFmt w:val="chineseCountingThousand"/>
      <w:pStyle w:val="2"/>
      <w:suff w:val="space"/>
      <w:lvlText w:val="（%2）"/>
      <w:lvlJc w:val="left"/>
      <w:pPr>
        <w:ind w:left="4537"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ZTk3NDVhMWZhYjljZTI0NzhlNjAyMDRkMzdlYzkifQ=="/>
  </w:docVars>
  <w:rsids>
    <w:rsidRoot w:val="43FC5C83"/>
    <w:rsid w:val="0AE578F1"/>
    <w:rsid w:val="15F157E9"/>
    <w:rsid w:val="220A3C81"/>
    <w:rsid w:val="31691C8A"/>
    <w:rsid w:val="3BA97379"/>
    <w:rsid w:val="43FC5C83"/>
    <w:rsid w:val="4EEA1BC9"/>
    <w:rsid w:val="56D908BA"/>
    <w:rsid w:val="590D47E9"/>
    <w:rsid w:val="62497BC8"/>
    <w:rsid w:val="662E465E"/>
    <w:rsid w:val="67563ABA"/>
    <w:rsid w:val="69B37F39"/>
    <w:rsid w:val="786E0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numPr>
        <w:ilvl w:val="1"/>
        <w:numId w:val="1"/>
      </w:numPr>
      <w:ind w:left="0" w:firstLine="200"/>
      <w:outlineLvl w:val="1"/>
    </w:pPr>
    <w:rPr>
      <w:rFonts w:asciiTheme="majorHAnsi" w:hAnsiTheme="majorHAnsi" w:cstheme="majorBidi"/>
      <w:bCs/>
      <w:szCs w:val="32"/>
    </w:rPr>
  </w:style>
  <w:style w:type="paragraph" w:styleId="3">
    <w:name w:val="heading 3"/>
    <w:basedOn w:val="1"/>
    <w:next w:val="4"/>
    <w:qFormat/>
    <w:uiPriority w:val="0"/>
    <w:pPr>
      <w:keepNext/>
      <w:keepLines/>
      <w:widowControl w:val="0"/>
      <w:numPr>
        <w:ilvl w:val="2"/>
        <w:numId w:val="2"/>
      </w:numPr>
      <w:spacing w:before="156" w:beforeLines="50" w:line="360" w:lineRule="auto"/>
      <w:outlineLvl w:val="2"/>
    </w:pPr>
    <w:rPr>
      <w:rFonts w:ascii="黑体" w:eastAsia="黑体"/>
      <w:bCs/>
      <w:sz w:val="28"/>
      <w:szCs w:val="32"/>
      <w:lang w:val="en-US" w:eastAsia="zh-CN" w:bidi="ar-SA"/>
    </w:rPr>
  </w:style>
  <w:style w:type="paragraph" w:styleId="5">
    <w:name w:val="heading 4"/>
    <w:basedOn w:val="1"/>
    <w:next w:val="1"/>
    <w:qFormat/>
    <w:uiPriority w:val="9"/>
    <w:pPr>
      <w:keepNext/>
      <w:keepLines/>
      <w:numPr>
        <w:ilvl w:val="3"/>
        <w:numId w:val="2"/>
      </w:numPr>
      <w:spacing w:before="156" w:beforeLines="50"/>
      <w:outlineLvl w:val="3"/>
    </w:pPr>
    <w:rPr>
      <w:rFonts w:ascii="黑体" w:hAnsi="Cambria" w:eastAsia="黑体"/>
      <w:bCs/>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4">
    <w:name w:val="正文-2字符首行缩进"/>
    <w:basedOn w:val="1"/>
    <w:qFormat/>
    <w:uiPriority w:val="0"/>
    <w:pPr>
      <w:ind w:firstLine="200" w:firstLineChars="200"/>
    </w:pPr>
  </w:style>
  <w:style w:type="paragraph" w:styleId="6">
    <w:name w:val="annotation text"/>
    <w:basedOn w:val="1"/>
    <w:qFormat/>
    <w:uiPriority w:val="0"/>
    <w:pPr>
      <w:jc w:val="left"/>
    </w:pPr>
  </w:style>
  <w:style w:type="paragraph" w:styleId="7">
    <w:name w:val="Body Text"/>
    <w:basedOn w:val="1"/>
    <w:next w:val="1"/>
    <w:unhideWhenUsed/>
    <w:qFormat/>
    <w:uiPriority w:val="0"/>
    <w:pPr>
      <w:spacing w:after="12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my正文"/>
    <w:basedOn w:val="1"/>
    <w:qFormat/>
    <w:uiPriority w:val="0"/>
    <w:pPr>
      <w:spacing w:line="360" w:lineRule="auto"/>
      <w:ind w:firstLine="480" w:firstLineChars="200"/>
    </w:pPr>
    <w:rPr>
      <w:rFonts w:ascii="Times New Roman" w:hAnsi="Times New Roman" w:eastAsia="宋体" w:cs="Times New Roman"/>
      <w:sz w:val="24"/>
      <w:szCs w:val="24"/>
    </w:r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2835</Words>
  <Characters>3043</Characters>
  <Lines>0</Lines>
  <Paragraphs>0</Paragraphs>
  <TotalTime>3</TotalTime>
  <ScaleCrop>false</ScaleCrop>
  <LinksUpToDate>false</LinksUpToDate>
  <CharactersWithSpaces>3045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2023-10-17T06:58:00Z</dcterms:created>
  <dc:creator>kryslly不是kryslly</dc:creator>
  <cp:lastModifiedBy>小陈</cp:lastModifiedBy>
  <dcterms:modified xsi:type="dcterms:W3CDTF">2024-11-12T08:07:12Z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8424AE6430774022A1BCAECC8077B26C_13</vt:lpwstr>
  </property>
</Properties>
</file>